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6F4F" w14:textId="6212EAE6" w:rsidR="00D272BA" w:rsidRPr="00892850" w:rsidRDefault="00EC64DB" w:rsidP="00360E7B">
      <w:pPr>
        <w:pStyle w:val="Heading1"/>
        <w:jc w:val="center"/>
        <w:rPr>
          <w:color w:val="auto"/>
          <w:lang w:val="en-US"/>
        </w:rPr>
      </w:pPr>
      <w:r>
        <w:rPr>
          <w:color w:val="auto"/>
          <w:lang w:val="bg-BG"/>
        </w:rPr>
        <w:t>Знаем ли колко и какво ядем</w:t>
      </w:r>
      <w:r>
        <w:rPr>
          <w:color w:val="auto"/>
          <w:lang w:val="en-US"/>
        </w:rPr>
        <w:t>?</w:t>
      </w:r>
    </w:p>
    <w:p w14:paraId="23BBECC3" w14:textId="585EA1E5" w:rsidR="006F58E1" w:rsidRDefault="00897860" w:rsidP="00063578">
      <w:pPr>
        <w:rPr>
          <w:b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175BA3D" wp14:editId="3CE6B689">
            <wp:simplePos x="0" y="0"/>
            <wp:positionH relativeFrom="margin">
              <wp:posOffset>451485</wp:posOffset>
            </wp:positionH>
            <wp:positionV relativeFrom="paragraph">
              <wp:posOffset>326390</wp:posOffset>
            </wp:positionV>
            <wp:extent cx="4485005" cy="3362960"/>
            <wp:effectExtent l="0" t="0" r="0" b="8890"/>
            <wp:wrapTopAndBottom/>
            <wp:docPr id="1" name="Obrázek 1" descr="http://www.receptyonline.cz/data/recepty/orig/2014/05/183859vepro-knedlo-zelo-ji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eptyonline.cz/data/recepty/orig/2014/05/183859vepro-knedlo-zelo-jid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57F9B" w14:textId="2182FD51" w:rsidR="00C16BDF" w:rsidRDefault="00571DDA" w:rsidP="00C16BDF">
      <w:pPr>
        <w:rPr>
          <w:b/>
          <w:lang w:val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38705" wp14:editId="32FBF178">
                <wp:simplePos x="0" y="0"/>
                <wp:positionH relativeFrom="margin">
                  <wp:posOffset>98425</wp:posOffset>
                </wp:positionH>
                <wp:positionV relativeFrom="paragraph">
                  <wp:posOffset>3616960</wp:posOffset>
                </wp:positionV>
                <wp:extent cx="5777230" cy="5429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DC009" w14:textId="77777777" w:rsidR="00C16BDF" w:rsidRPr="006152C4" w:rsidRDefault="00C16BDF" w:rsidP="00C16BDF">
                            <w:pPr>
                              <w:spacing w:line="240" w:lineRule="atLeast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lt-LT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 xml:space="preserve">Традиционно чешко ястие: Свинско печено с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>кнедли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  <w:lang w:val="bg-BG"/>
                              </w:rPr>
                              <w:t xml:space="preserve"> и зеле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lt-LT"/>
                              </w:rPr>
                              <w:t>(</w:t>
                            </w:r>
                            <w:r w:rsidRPr="00D913C7">
                              <w:rPr>
                                <w:i/>
                                <w:sz w:val="18"/>
                                <w:szCs w:val="18"/>
                                <w:lang w:val="lt-LT"/>
                              </w:rPr>
                              <w:t>http://www.receptyonline.cz/data/recepty/orig/2014/05/183859vepro-knedlo-zelo-jidlo.jpg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lt-L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75pt;margin-top:284.8pt;width:454.9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qegQ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" stroked="f">
                <v:textbox>
                  <w:txbxContent>
                    <w:p w14:paraId="59CDC009" w14:textId="77777777" w:rsidR="00C16BDF" w:rsidRPr="006152C4" w:rsidRDefault="00C16BDF" w:rsidP="00C16BDF">
                      <w:pPr>
                        <w:spacing w:line="240" w:lineRule="atLeast"/>
                        <w:jc w:val="center"/>
                        <w:rPr>
                          <w:i/>
                          <w:sz w:val="18"/>
                          <w:szCs w:val="18"/>
                          <w:lang w:val="lt-LT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bg-BG"/>
                        </w:rPr>
                        <w:t xml:space="preserve">Традиционно чешко ястие: Свинско печено с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  <w:lang w:val="bg-BG"/>
                        </w:rPr>
                        <w:t>кнедли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  <w:lang w:val="bg-BG"/>
                        </w:rPr>
                        <w:t xml:space="preserve"> и зеле </w:t>
                      </w:r>
                      <w:r>
                        <w:rPr>
                          <w:i/>
                          <w:sz w:val="18"/>
                          <w:szCs w:val="18"/>
                          <w:lang w:val="lt-LT"/>
                        </w:rPr>
                        <w:t>(</w:t>
                      </w:r>
                      <w:r w:rsidRPr="00D913C7">
                        <w:rPr>
                          <w:i/>
                          <w:sz w:val="18"/>
                          <w:szCs w:val="18"/>
                          <w:lang w:val="lt-LT"/>
                        </w:rPr>
                        <w:t>http://www.receptyonline.cz/data/recepty/orig/2014/05/183859vepro-knedlo-zelo-jidlo.jpg</w:t>
                      </w:r>
                      <w:r>
                        <w:rPr>
                          <w:i/>
                          <w:sz w:val="18"/>
                          <w:szCs w:val="18"/>
                          <w:lang w:val="lt-LT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CF3C33" w14:textId="49D6C2FB" w:rsidR="00F43908" w:rsidRPr="00571DDA" w:rsidRDefault="00F43908" w:rsidP="00C16BDF">
      <w:pPr>
        <w:rPr>
          <w:b/>
          <w:lang w:val="en-GB"/>
        </w:rPr>
      </w:pPr>
      <w:r w:rsidRPr="00571DDA">
        <w:rPr>
          <w:b/>
          <w:lang w:val="bg-BG"/>
        </w:rPr>
        <w:t>Резюме</w:t>
      </w:r>
    </w:p>
    <w:p w14:paraId="1D4516AB" w14:textId="77777777" w:rsidR="00F43908" w:rsidRPr="00571DDA" w:rsidRDefault="00F43908" w:rsidP="00F43908">
      <w:pPr>
        <w:pStyle w:val="Heading3"/>
        <w:shd w:val="clear" w:color="auto" w:fill="FFFFFF"/>
        <w:spacing w:before="163" w:after="163"/>
        <w:jc w:val="both"/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</w:pPr>
      <w:r w:rsidRPr="00571DDA">
        <w:rPr>
          <w:rFonts w:asciiTheme="minorHAnsi" w:hAnsiTheme="minorHAnsi" w:cs="Arial"/>
          <w:b w:val="0"/>
          <w:bCs w:val="0"/>
          <w:color w:val="272727"/>
          <w:lang w:val="bg-BG"/>
        </w:rPr>
        <w:t>Отговорът на въпроса колко и какво ядем е много важен за нашия живот</w:t>
      </w:r>
      <w:r w:rsidRPr="00571DDA">
        <w:rPr>
          <w:rFonts w:asciiTheme="minorHAnsi" w:hAnsiTheme="minorHAnsi" w:cs="Arial"/>
          <w:b w:val="0"/>
          <w:bCs w:val="0"/>
          <w:color w:val="272727"/>
          <w:lang w:val="en-GB"/>
        </w:rPr>
        <w:t xml:space="preserve">, </w:t>
      </w:r>
      <w:r w:rsidRPr="00571DDA">
        <w:rPr>
          <w:rFonts w:asciiTheme="minorHAnsi" w:hAnsiTheme="minorHAnsi" w:cs="Arial"/>
          <w:b w:val="0"/>
          <w:bCs w:val="0"/>
          <w:color w:val="272727"/>
          <w:lang w:val="bg-BG"/>
        </w:rPr>
        <w:t xml:space="preserve">следователно всеки трябва да отчита енергийната стойност на храната, правилата и структурата на здравословното хранене. Културните и регионалните особености в различните страни също трябва да се вземат под внимание, както и физическото натоварване. </w:t>
      </w:r>
    </w:p>
    <w:p w14:paraId="4BF0F079" w14:textId="586ABCDC" w:rsidR="00BD085D" w:rsidRPr="00571DDA" w:rsidRDefault="00BD085D" w:rsidP="00BD085D">
      <w:pPr>
        <w:pStyle w:val="Heading3"/>
        <w:shd w:val="clear" w:color="auto" w:fill="FFFFFF"/>
        <w:spacing w:before="163" w:after="163"/>
        <w:jc w:val="both"/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</w:pPr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>Върху проблема за оптимизиране на храненето се фокусира не само личната отговорност</w:t>
      </w:r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en-US"/>
        </w:rPr>
        <w:t xml:space="preserve">: </w:t>
      </w:r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 xml:space="preserve">появиха се и нови професии. Към традиционното земеделие, хранителната индустрия, </w:t>
      </w:r>
      <w:proofErr w:type="spellStart"/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>биотехнологиите</w:t>
      </w:r>
      <w:proofErr w:type="spellEnd"/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 xml:space="preserve"> се присъединяват нови клонове: анализ и токсикология на храната, </w:t>
      </w:r>
      <w:proofErr w:type="spellStart"/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>биоземеделие</w:t>
      </w:r>
      <w:proofErr w:type="spellEnd"/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 xml:space="preserve">, </w:t>
      </w:r>
      <w:proofErr w:type="spellStart"/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>диет</w:t>
      </w:r>
      <w:r w:rsidR="006659C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>ология</w:t>
      </w:r>
      <w:proofErr w:type="spellEnd"/>
      <w:r w:rsidRPr="00571DDA">
        <w:rPr>
          <w:rFonts w:asciiTheme="minorHAnsi" w:eastAsiaTheme="minorHAnsi" w:hAnsiTheme="minorHAnsi" w:cstheme="minorBidi"/>
          <w:b w:val="0"/>
          <w:bCs w:val="0"/>
          <w:color w:val="auto"/>
          <w:lang w:val="bg-BG"/>
        </w:rPr>
        <w:t xml:space="preserve"> и пр. </w:t>
      </w:r>
    </w:p>
    <w:p w14:paraId="58D47517" w14:textId="43C2C16B" w:rsidR="00BD085D" w:rsidRPr="00571DDA" w:rsidRDefault="00BD085D" w:rsidP="00BD085D">
      <w:pPr>
        <w:jc w:val="both"/>
        <w:rPr>
          <w:lang w:val="bg-BG"/>
        </w:rPr>
      </w:pPr>
      <w:r w:rsidRPr="00571DDA">
        <w:rPr>
          <w:lang w:val="bg-BG"/>
        </w:rPr>
        <w:t>Учениците работят като професионалисти в областта на анализа на храни в институт/ компания ориентиран(а) към оптимизиране на количеството и качеството на храненето. Те използват инструменти от интернет за количествен анализ и хранителни портали (също от интернет) за качествен анализ на храните и интерпретират резултатите от извършения анализ от гледна точка на културните различия в национален, регионален и интернационален контекст.</w:t>
      </w:r>
    </w:p>
    <w:p w14:paraId="066B5540" w14:textId="77777777" w:rsidR="00571DDA" w:rsidRPr="00571DDA" w:rsidRDefault="00571DDA" w:rsidP="00EE6D5C">
      <w:pPr>
        <w:spacing w:after="0"/>
        <w:jc w:val="both"/>
        <w:rPr>
          <w:b/>
          <w:lang w:val="bg-BG"/>
        </w:rPr>
      </w:pPr>
    </w:p>
    <w:p w14:paraId="7ADDBF3F" w14:textId="697D9F0C" w:rsidR="00EE6D5C" w:rsidRPr="00571DDA" w:rsidRDefault="00EE6D5C" w:rsidP="00EE6D5C">
      <w:pPr>
        <w:spacing w:after="0"/>
        <w:jc w:val="both"/>
        <w:rPr>
          <w:lang w:val="en-US"/>
        </w:rPr>
      </w:pPr>
      <w:r w:rsidRPr="00571DDA">
        <w:rPr>
          <w:b/>
          <w:lang w:val="bg-BG"/>
        </w:rPr>
        <w:t>Дисциплина</w:t>
      </w:r>
      <w:r w:rsidRPr="00571DDA">
        <w:rPr>
          <w:b/>
          <w:lang w:val="en-US"/>
        </w:rPr>
        <w:t>:</w:t>
      </w:r>
      <w:r w:rsidRPr="00571DDA">
        <w:rPr>
          <w:lang w:val="en-US"/>
        </w:rPr>
        <w:t xml:space="preserve"> </w:t>
      </w:r>
      <w:r w:rsidRPr="00571DDA">
        <w:rPr>
          <w:lang w:val="bg-BG"/>
        </w:rPr>
        <w:t xml:space="preserve">Интердисциплинарен между математика и естествени науки (главно химия, биология, екология), частично свързан с </w:t>
      </w:r>
      <w:proofErr w:type="spellStart"/>
      <w:r w:rsidRPr="00571DDA">
        <w:rPr>
          <w:lang w:val="bg-BG"/>
        </w:rPr>
        <w:t>обществознание</w:t>
      </w:r>
      <w:proofErr w:type="spellEnd"/>
      <w:r w:rsidRPr="00571DDA">
        <w:rPr>
          <w:lang w:val="bg-BG"/>
        </w:rPr>
        <w:t xml:space="preserve"> </w:t>
      </w:r>
    </w:p>
    <w:p w14:paraId="3BF0621D" w14:textId="1D25A949" w:rsidR="00EE6D5C" w:rsidRPr="00571DDA" w:rsidRDefault="00EE6D5C" w:rsidP="00EE6D5C">
      <w:pPr>
        <w:spacing w:after="0"/>
        <w:jc w:val="both"/>
        <w:rPr>
          <w:lang w:val="bg-BG"/>
        </w:rPr>
      </w:pPr>
      <w:r w:rsidRPr="00571DDA">
        <w:rPr>
          <w:b/>
          <w:lang w:val="bg-BG"/>
        </w:rPr>
        <w:t>Продължителност</w:t>
      </w:r>
      <w:r w:rsidRPr="00571DDA">
        <w:rPr>
          <w:b/>
          <w:lang w:val="en-US"/>
        </w:rPr>
        <w:t>:</w:t>
      </w:r>
      <w:r w:rsidRPr="00571DDA">
        <w:rPr>
          <w:lang w:val="en-US"/>
        </w:rPr>
        <w:t xml:space="preserve"> </w:t>
      </w:r>
      <w:r w:rsidRPr="00571DDA">
        <w:rPr>
          <w:lang w:val="bg-BG"/>
        </w:rPr>
        <w:t xml:space="preserve">в зависимост от конкретната задача, от </w:t>
      </w:r>
      <w:r w:rsidRPr="00571DDA">
        <w:rPr>
          <w:lang w:val="en-US"/>
        </w:rPr>
        <w:t>1</w:t>
      </w:r>
      <w:r w:rsidRPr="00571DDA">
        <w:rPr>
          <w:lang w:val="en-GB"/>
        </w:rPr>
        <w:t xml:space="preserve"> </w:t>
      </w:r>
      <w:r w:rsidRPr="00571DDA">
        <w:rPr>
          <w:lang w:val="bg-BG"/>
        </w:rPr>
        <w:t xml:space="preserve">урок </w:t>
      </w:r>
      <w:r w:rsidRPr="00571DDA">
        <w:rPr>
          <w:lang w:val="en-GB"/>
        </w:rPr>
        <w:t xml:space="preserve">(45 </w:t>
      </w:r>
      <w:r w:rsidRPr="00571DDA">
        <w:rPr>
          <w:lang w:val="bg-BG"/>
        </w:rPr>
        <w:t>минути</w:t>
      </w:r>
      <w:r w:rsidRPr="00571DDA">
        <w:rPr>
          <w:lang w:val="en-GB"/>
        </w:rPr>
        <w:t xml:space="preserve">) </w:t>
      </w:r>
      <w:r w:rsidRPr="00571DDA">
        <w:rPr>
          <w:lang w:val="bg-BG"/>
        </w:rPr>
        <w:t>до няколкоседмичен проект</w:t>
      </w:r>
    </w:p>
    <w:p w14:paraId="74438602" w14:textId="7B31402C" w:rsidR="00EE6D5C" w:rsidRPr="00571DDA" w:rsidRDefault="00EE6D5C" w:rsidP="00EE6D5C">
      <w:pPr>
        <w:spacing w:after="0"/>
        <w:rPr>
          <w:lang w:val="en-US"/>
        </w:rPr>
      </w:pPr>
      <w:r w:rsidRPr="00571DDA">
        <w:rPr>
          <w:b/>
          <w:lang w:val="bg-BG"/>
        </w:rPr>
        <w:t>Целева група</w:t>
      </w:r>
      <w:r w:rsidRPr="00571DDA">
        <w:rPr>
          <w:b/>
          <w:lang w:val="en-US"/>
        </w:rPr>
        <w:t>:</w:t>
      </w:r>
      <w:r w:rsidRPr="00571DDA">
        <w:rPr>
          <w:lang w:val="en-US"/>
        </w:rPr>
        <w:t xml:space="preserve"> </w:t>
      </w:r>
      <w:r w:rsidRPr="00571DDA">
        <w:rPr>
          <w:lang w:val="bg-BG"/>
        </w:rPr>
        <w:t>Прогимназиално и гимназиално образование</w:t>
      </w:r>
    </w:p>
    <w:p w14:paraId="5D78F2FC" w14:textId="6D944BB0" w:rsidR="00EE6D5C" w:rsidRPr="00571DDA" w:rsidRDefault="00EE6D5C" w:rsidP="00EE6D5C">
      <w:pPr>
        <w:spacing w:after="120"/>
        <w:jc w:val="both"/>
        <w:rPr>
          <w:b/>
          <w:strike/>
          <w:lang w:val="en-GB"/>
        </w:rPr>
      </w:pPr>
      <w:r w:rsidRPr="00571DDA">
        <w:rPr>
          <w:b/>
          <w:lang w:val="bg-BG"/>
        </w:rPr>
        <w:t>Възрастова група</w:t>
      </w:r>
      <w:r w:rsidRPr="00571DDA">
        <w:rPr>
          <w:b/>
          <w:lang w:val="en-US"/>
        </w:rPr>
        <w:t>:</w:t>
      </w:r>
      <w:r w:rsidRPr="00571DDA">
        <w:rPr>
          <w:lang w:val="en-US"/>
        </w:rPr>
        <w:t xml:space="preserve"> </w:t>
      </w:r>
      <w:r w:rsidRPr="00571DDA">
        <w:rPr>
          <w:lang w:val="en-GB"/>
        </w:rPr>
        <w:t xml:space="preserve">11 –18 </w:t>
      </w:r>
      <w:r w:rsidRPr="00571DDA">
        <w:rPr>
          <w:lang w:val="bg-BG"/>
        </w:rPr>
        <w:t>години</w:t>
      </w:r>
    </w:p>
    <w:p w14:paraId="4E709BAC" w14:textId="0DC87B2D" w:rsidR="006336F9" w:rsidRPr="00571DDA" w:rsidRDefault="006336F9" w:rsidP="006F58E1">
      <w:pPr>
        <w:jc w:val="right"/>
        <w:rPr>
          <w:lang w:val="en-US"/>
        </w:rPr>
      </w:pPr>
    </w:p>
    <w:p w14:paraId="5110F32E" w14:textId="1D873BAD" w:rsidR="00D272BA" w:rsidRPr="00571DDA" w:rsidRDefault="00380179" w:rsidP="00380179">
      <w:pPr>
        <w:tabs>
          <w:tab w:val="left" w:pos="3029"/>
        </w:tabs>
        <w:spacing w:after="0"/>
        <w:rPr>
          <w:b/>
          <w:lang w:val="en-US"/>
        </w:rPr>
      </w:pPr>
      <w:r w:rsidRPr="00571DDA">
        <w:rPr>
          <w:rFonts w:eastAsiaTheme="minorEastAsia" w:cs="Lucida Grande"/>
          <w:b/>
          <w:bCs/>
          <w:lang w:val="bg-BG"/>
        </w:rPr>
        <w:t>Измерения на изследователския подход</w:t>
      </w:r>
      <w:r w:rsidRPr="00571DDA">
        <w:rPr>
          <w:rFonts w:ascii="Lucida Grande" w:eastAsiaTheme="minorEastAsia" w:hAnsi="Lucida Grande" w:cs="Lucida Grande"/>
          <w:b/>
          <w:bCs/>
          <w:sz w:val="24"/>
          <w:szCs w:val="24"/>
          <w:lang w:val="en-US"/>
        </w:rPr>
        <w:t xml:space="preserve"> </w:t>
      </w:r>
    </w:p>
    <w:p w14:paraId="124E1E34" w14:textId="23B5671A" w:rsidR="008841D4" w:rsidRPr="00571DDA" w:rsidRDefault="00380179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 w:rsidRPr="00571DDA">
        <w:rPr>
          <w:noProof/>
          <w:lang w:val="bg-BG" w:eastAsia="de-AT"/>
        </w:rPr>
        <w:t xml:space="preserve">Прилагане на математиката към задачи от реалния живот </w:t>
      </w:r>
    </w:p>
    <w:p w14:paraId="59E97958" w14:textId="134B6CA6" w:rsidR="008841D4" w:rsidRPr="00571DDA" w:rsidRDefault="00380179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 w:rsidRPr="00571DDA">
        <w:rPr>
          <w:noProof/>
          <w:lang w:val="bg-BG" w:eastAsia="de-AT"/>
        </w:rPr>
        <w:t>Учениците използват знанията си за намиране на решения</w:t>
      </w:r>
    </w:p>
    <w:p w14:paraId="6CE1179B" w14:textId="25EDF855" w:rsidR="008841D4" w:rsidRPr="00571DDA" w:rsidRDefault="00380179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 w:rsidRPr="00571DDA">
        <w:rPr>
          <w:noProof/>
          <w:lang w:val="bg-BG" w:eastAsia="de-AT"/>
        </w:rPr>
        <w:t>Учениците дават обратна връзка за резултатите и процесите</w:t>
      </w:r>
    </w:p>
    <w:p w14:paraId="12539211" w14:textId="568C7D12" w:rsidR="008841D4" w:rsidRPr="00571DDA" w:rsidRDefault="00380179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 w:rsidRPr="00571DDA">
        <w:rPr>
          <w:noProof/>
          <w:lang w:val="bg-BG" w:eastAsia="de-AT"/>
        </w:rPr>
        <w:t>Учениците развиват собствените си разбирания</w:t>
      </w:r>
    </w:p>
    <w:p w14:paraId="2B175A4A" w14:textId="42A8D9AC" w:rsidR="008841D4" w:rsidRPr="00571DDA" w:rsidRDefault="006659CA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>
        <w:rPr>
          <w:noProof/>
          <w:lang w:val="bg-BG" w:eastAsia="de-AT"/>
        </w:rPr>
        <w:t>Контекстът е значим и практичен</w:t>
      </w:r>
    </w:p>
    <w:p w14:paraId="39EF80A1" w14:textId="0F91AFD5" w:rsidR="008841D4" w:rsidRPr="00571DDA" w:rsidRDefault="008339F2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 w:rsidRPr="00571DDA">
        <w:rPr>
          <w:noProof/>
          <w:lang w:val="bg-BG" w:eastAsia="de-AT"/>
        </w:rPr>
        <w:t>Формулировката на въпроса позволява различни стратегии за решаване</w:t>
      </w:r>
    </w:p>
    <w:p w14:paraId="34267FB9" w14:textId="619F4B10" w:rsidR="008841D4" w:rsidRPr="00571DDA" w:rsidRDefault="008339F2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 w:rsidRPr="00571DDA">
        <w:rPr>
          <w:noProof/>
          <w:lang w:val="bg-BG" w:eastAsia="de-AT"/>
        </w:rPr>
        <w:t>Задачата подкрепя съвместната работа и комуникацията</w:t>
      </w:r>
    </w:p>
    <w:p w14:paraId="43FEB0E0" w14:textId="7568D3E2" w:rsidR="0088677F" w:rsidRPr="00571DDA" w:rsidRDefault="003D29D7" w:rsidP="008841D4">
      <w:pPr>
        <w:pStyle w:val="ListParagraph"/>
        <w:numPr>
          <w:ilvl w:val="0"/>
          <w:numId w:val="12"/>
        </w:numPr>
        <w:rPr>
          <w:noProof/>
          <w:lang w:val="en-GB" w:eastAsia="de-AT"/>
        </w:rPr>
      </w:pPr>
      <w:r w:rsidRPr="00571DDA">
        <w:rPr>
          <w:noProof/>
          <w:lang w:val="bg-BG" w:eastAsia="de-AT"/>
        </w:rPr>
        <w:t>Задачата подкрепя културното измерение, свързано с обучението по математика и при</w:t>
      </w:r>
      <w:r w:rsidR="006659CA">
        <w:rPr>
          <w:noProof/>
          <w:lang w:val="bg-BG" w:eastAsia="de-AT"/>
        </w:rPr>
        <w:t>р</w:t>
      </w:r>
      <w:r w:rsidRPr="00571DDA">
        <w:rPr>
          <w:noProof/>
          <w:lang w:val="bg-BG" w:eastAsia="de-AT"/>
        </w:rPr>
        <w:t>одни науки</w:t>
      </w:r>
    </w:p>
    <w:p w14:paraId="1CD464F5" w14:textId="08743DDE" w:rsidR="00D272BA" w:rsidRPr="00571DDA" w:rsidRDefault="003C618C" w:rsidP="002B6193">
      <w:pPr>
        <w:tabs>
          <w:tab w:val="left" w:pos="3029"/>
        </w:tabs>
        <w:spacing w:after="0"/>
        <w:rPr>
          <w:b/>
          <w:lang w:val="en-US"/>
        </w:rPr>
      </w:pPr>
      <w:r w:rsidRPr="00571DDA">
        <w:rPr>
          <w:rFonts w:eastAsiaTheme="minorEastAsia" w:cs="Lucida Grande"/>
          <w:b/>
          <w:bCs/>
          <w:lang w:val="bg-BG"/>
        </w:rPr>
        <w:t>Измерения на професионалната сфера</w:t>
      </w:r>
      <w:r w:rsidR="00D272BA" w:rsidRPr="00571DDA">
        <w:rPr>
          <w:b/>
          <w:lang w:val="en-US"/>
        </w:rPr>
        <w:t xml:space="preserve"> </w:t>
      </w:r>
      <w:r w:rsidR="002B6193" w:rsidRPr="00571DDA">
        <w:rPr>
          <w:b/>
          <w:lang w:val="en-US"/>
        </w:rPr>
        <w:tab/>
      </w:r>
    </w:p>
    <w:p w14:paraId="1B31CDD8" w14:textId="2810D3BB" w:rsidR="006336F9" w:rsidRPr="00571DDA" w:rsidRDefault="00C7393E" w:rsidP="004C32A2">
      <w:pPr>
        <w:pStyle w:val="ListParagraph"/>
        <w:numPr>
          <w:ilvl w:val="0"/>
          <w:numId w:val="4"/>
        </w:numPr>
        <w:rPr>
          <w:lang w:val="en-US"/>
        </w:rPr>
      </w:pPr>
      <w:r w:rsidRPr="00571DDA">
        <w:rPr>
          <w:lang w:val="bg-BG"/>
        </w:rPr>
        <w:t>Контекст</w:t>
      </w:r>
      <w:r w:rsidR="004C32A2" w:rsidRPr="00571DDA">
        <w:rPr>
          <w:lang w:val="en-US"/>
        </w:rPr>
        <w:t xml:space="preserve">: </w:t>
      </w:r>
      <w:r w:rsidRPr="00571DDA">
        <w:rPr>
          <w:lang w:val="bg-BG"/>
        </w:rPr>
        <w:t>задачата е пряко свързана с ежедневието и професионалната сфера</w:t>
      </w:r>
      <w:r w:rsidR="008841D4" w:rsidRPr="00571DDA">
        <w:rPr>
          <w:noProof/>
          <w:lang w:val="en-GB" w:eastAsia="de-AT"/>
        </w:rPr>
        <w:t xml:space="preserve"> </w:t>
      </w:r>
    </w:p>
    <w:p w14:paraId="60B28BD8" w14:textId="7C2DD61A" w:rsidR="006336F9" w:rsidRPr="00571DDA" w:rsidRDefault="00C7393E" w:rsidP="004C32A2">
      <w:pPr>
        <w:pStyle w:val="ListParagraph"/>
        <w:numPr>
          <w:ilvl w:val="0"/>
          <w:numId w:val="4"/>
        </w:numPr>
        <w:rPr>
          <w:lang w:val="en-US"/>
        </w:rPr>
      </w:pPr>
      <w:r w:rsidRPr="00571DDA">
        <w:rPr>
          <w:lang w:val="bg-BG"/>
        </w:rPr>
        <w:t>Роля</w:t>
      </w:r>
      <w:r w:rsidR="004C32A2" w:rsidRPr="00571DDA">
        <w:rPr>
          <w:lang w:val="en-US"/>
        </w:rPr>
        <w:t>:</w:t>
      </w:r>
      <w:r w:rsidR="008841D4" w:rsidRPr="00571DDA">
        <w:rPr>
          <w:lang w:val="en-US"/>
        </w:rPr>
        <w:t xml:space="preserve"> </w:t>
      </w:r>
      <w:r w:rsidRPr="00571DDA">
        <w:rPr>
          <w:lang w:val="bg-BG"/>
        </w:rPr>
        <w:t xml:space="preserve">учениците работят </w:t>
      </w:r>
      <w:r w:rsidR="006659CA">
        <w:rPr>
          <w:lang w:val="bg-BG"/>
        </w:rPr>
        <w:t>като професионалисти по хранене</w:t>
      </w:r>
      <w:r w:rsidRPr="00571DDA">
        <w:rPr>
          <w:lang w:val="bg-BG"/>
        </w:rPr>
        <w:t xml:space="preserve"> и консултанти</w:t>
      </w:r>
    </w:p>
    <w:p w14:paraId="3CABB609" w14:textId="596C94F4" w:rsidR="004C32A2" w:rsidRPr="00571DDA" w:rsidRDefault="00C7393E" w:rsidP="004C32A2">
      <w:pPr>
        <w:pStyle w:val="ListParagraph"/>
        <w:numPr>
          <w:ilvl w:val="0"/>
          <w:numId w:val="4"/>
        </w:numPr>
        <w:rPr>
          <w:lang w:val="en-US"/>
        </w:rPr>
      </w:pPr>
      <w:r w:rsidRPr="00571DDA">
        <w:rPr>
          <w:lang w:val="bg-BG"/>
        </w:rPr>
        <w:t>Дейност</w:t>
      </w:r>
      <w:r w:rsidR="004C32A2" w:rsidRPr="00571DDA">
        <w:rPr>
          <w:lang w:val="en-US"/>
        </w:rPr>
        <w:t xml:space="preserve">: </w:t>
      </w:r>
      <w:r w:rsidR="008339F2" w:rsidRPr="00571DDA">
        <w:rPr>
          <w:lang w:val="bg-BG"/>
        </w:rPr>
        <w:t>учениците анализират различни типове храни от ежедневието с фокус  върху културното, професионалното и екологичното измерение</w:t>
      </w:r>
      <w:r w:rsidR="004E7716" w:rsidRPr="00571DDA">
        <w:rPr>
          <w:lang w:val="en-GB"/>
        </w:rPr>
        <w:t xml:space="preserve">, </w:t>
      </w:r>
      <w:r w:rsidR="008339F2" w:rsidRPr="00571DDA">
        <w:rPr>
          <w:lang w:val="bg-BG"/>
        </w:rPr>
        <w:t>т.е. използват за примери национални ястия на други страни</w:t>
      </w:r>
    </w:p>
    <w:p w14:paraId="22734592" w14:textId="16470E6A" w:rsidR="006336F9" w:rsidRPr="00571DDA" w:rsidRDefault="00C7393E" w:rsidP="006336F9">
      <w:pPr>
        <w:pStyle w:val="ListParagraph"/>
        <w:numPr>
          <w:ilvl w:val="0"/>
          <w:numId w:val="4"/>
        </w:numPr>
        <w:rPr>
          <w:lang w:val="en-US"/>
        </w:rPr>
      </w:pPr>
      <w:r w:rsidRPr="00571DDA">
        <w:rPr>
          <w:lang w:val="bg-BG"/>
        </w:rPr>
        <w:t>Продукт</w:t>
      </w:r>
      <w:r w:rsidR="004C32A2" w:rsidRPr="00571DDA">
        <w:rPr>
          <w:lang w:val="en-US"/>
        </w:rPr>
        <w:t xml:space="preserve">: </w:t>
      </w:r>
      <w:r w:rsidRPr="00571DDA">
        <w:rPr>
          <w:lang w:val="bg-BG"/>
        </w:rPr>
        <w:t>анализиране и оптимизиране на храненето в ежедневието</w:t>
      </w:r>
      <w:r w:rsidR="0088677F" w:rsidRPr="00571DDA">
        <w:rPr>
          <w:lang w:val="en-US"/>
        </w:rPr>
        <w:t xml:space="preserve">, </w:t>
      </w:r>
      <w:r w:rsidRPr="00571DDA">
        <w:rPr>
          <w:lang w:val="bg-BG"/>
        </w:rPr>
        <w:t xml:space="preserve">планиране на дневната консумация </w:t>
      </w:r>
      <w:r w:rsidR="00004600" w:rsidRPr="00571DDA">
        <w:rPr>
          <w:lang w:val="bg-BG"/>
        </w:rPr>
        <w:t xml:space="preserve">на храна с отчитане на енергията, съдържанието и качеството </w:t>
      </w:r>
    </w:p>
    <w:p w14:paraId="3EC934B2" w14:textId="7389C5BE" w:rsidR="0065607F" w:rsidRPr="00571DDA" w:rsidRDefault="00C7393E" w:rsidP="00C7393E">
      <w:pPr>
        <w:pStyle w:val="ListParagraph"/>
        <w:numPr>
          <w:ilvl w:val="0"/>
          <w:numId w:val="4"/>
        </w:numPr>
        <w:rPr>
          <w:lang w:val="en-US"/>
        </w:rPr>
      </w:pPr>
      <w:r w:rsidRPr="00571DDA">
        <w:rPr>
          <w:lang w:val="bg-BG"/>
        </w:rPr>
        <w:t>Свързана професия</w:t>
      </w:r>
      <w:r w:rsidR="004C32A2" w:rsidRPr="00571DDA">
        <w:rPr>
          <w:lang w:val="en-US"/>
        </w:rPr>
        <w:t xml:space="preserve">: </w:t>
      </w:r>
      <w:r w:rsidRPr="00571DDA">
        <w:rPr>
          <w:lang w:val="bg-BG"/>
        </w:rPr>
        <w:t>специалист по хранене, хранителен консултант, специалист по аналитична химия, биохимик</w:t>
      </w:r>
    </w:p>
    <w:p w14:paraId="47F771EC" w14:textId="6AD4E358" w:rsidR="004C32A2" w:rsidRPr="00571DDA" w:rsidRDefault="00BD085D" w:rsidP="002B6193">
      <w:pPr>
        <w:spacing w:after="0"/>
        <w:rPr>
          <w:b/>
          <w:lang w:val="en-US"/>
        </w:rPr>
      </w:pPr>
      <w:r w:rsidRPr="00571DDA">
        <w:rPr>
          <w:b/>
          <w:lang w:val="bg-BG"/>
        </w:rPr>
        <w:t>Налични материали</w:t>
      </w:r>
      <w:r w:rsidR="004C32A2" w:rsidRPr="00571DDA">
        <w:rPr>
          <w:b/>
          <w:lang w:val="en-US"/>
        </w:rPr>
        <w:t xml:space="preserve">  </w:t>
      </w:r>
    </w:p>
    <w:p w14:paraId="7ADA3BBB" w14:textId="073A68C1" w:rsidR="008841D4" w:rsidRPr="00571DDA" w:rsidRDefault="00BD085D" w:rsidP="008841D4">
      <w:pPr>
        <w:pStyle w:val="ListParagraph"/>
        <w:numPr>
          <w:ilvl w:val="0"/>
          <w:numId w:val="4"/>
        </w:numPr>
        <w:rPr>
          <w:lang w:val="en-GB"/>
        </w:rPr>
      </w:pPr>
      <w:r w:rsidRPr="00571DDA">
        <w:rPr>
          <w:lang w:val="bg-BG"/>
        </w:rPr>
        <w:t>Ръководство за учителя</w:t>
      </w:r>
      <w:r w:rsidR="008841D4" w:rsidRPr="00571DDA">
        <w:rPr>
          <w:lang w:val="en-GB"/>
        </w:rPr>
        <w:t xml:space="preserve"> </w:t>
      </w:r>
    </w:p>
    <w:p w14:paraId="21325C56" w14:textId="541C407F" w:rsidR="008841D4" w:rsidRPr="00571DDA" w:rsidRDefault="00BD085D" w:rsidP="008841D4">
      <w:pPr>
        <w:pStyle w:val="ListParagraph"/>
        <w:numPr>
          <w:ilvl w:val="0"/>
          <w:numId w:val="4"/>
        </w:numPr>
        <w:rPr>
          <w:lang w:val="en-GB"/>
        </w:rPr>
      </w:pPr>
      <w:r w:rsidRPr="00571DDA">
        <w:rPr>
          <w:lang w:val="bg-BG"/>
        </w:rPr>
        <w:t>Материал за ученика</w:t>
      </w:r>
      <w:r w:rsidR="008841D4" w:rsidRPr="00571DDA">
        <w:rPr>
          <w:lang w:val="en-GB"/>
        </w:rPr>
        <w:t xml:space="preserve"> </w:t>
      </w:r>
    </w:p>
    <w:p w14:paraId="240D1C32" w14:textId="4B208B7A" w:rsidR="008841D4" w:rsidRPr="00571DDA" w:rsidRDefault="00BD085D" w:rsidP="008841D4">
      <w:pPr>
        <w:pStyle w:val="ListParagraph"/>
        <w:numPr>
          <w:ilvl w:val="0"/>
          <w:numId w:val="4"/>
        </w:numPr>
        <w:rPr>
          <w:lang w:val="en-GB"/>
        </w:rPr>
      </w:pPr>
      <w:r w:rsidRPr="00571DDA">
        <w:rPr>
          <w:lang w:val="bg-BG"/>
        </w:rPr>
        <w:t>Обща информация</w:t>
      </w:r>
      <w:r w:rsidR="008841D4" w:rsidRPr="00571DDA">
        <w:rPr>
          <w:lang w:val="en-GB"/>
        </w:rPr>
        <w:t xml:space="preserve">: </w:t>
      </w:r>
    </w:p>
    <w:p w14:paraId="25FF728C" w14:textId="0F771C3A" w:rsidR="003C1FCB" w:rsidRPr="00571DDA" w:rsidRDefault="00CA44AC" w:rsidP="006D19F1">
      <w:pPr>
        <w:pStyle w:val="ListParagraph"/>
        <w:numPr>
          <w:ilvl w:val="1"/>
          <w:numId w:val="4"/>
        </w:numPr>
        <w:rPr>
          <w:lang w:val="en-GB"/>
        </w:rPr>
      </w:pPr>
      <w:hyperlink r:id="rId10" w:history="1">
        <w:r w:rsidR="000D6CDD" w:rsidRPr="00571DDA">
          <w:rPr>
            <w:lang w:val="en-GB"/>
          </w:rPr>
          <w:t>http://www.food-life.cz/kalkulacky/potraviny</w:t>
        </w:r>
      </w:hyperlink>
      <w:r w:rsidR="006D19F1" w:rsidRPr="00571DDA">
        <w:rPr>
          <w:lang w:val="en-GB"/>
        </w:rPr>
        <w:t xml:space="preserve"> (</w:t>
      </w:r>
      <w:r w:rsidR="00BD085D" w:rsidRPr="00571DDA">
        <w:rPr>
          <w:lang w:val="bg-BG"/>
        </w:rPr>
        <w:t>Калкулатор за енергийното съдържание на храните на чешки</w:t>
      </w:r>
      <w:r w:rsidR="006D19F1" w:rsidRPr="00571DDA">
        <w:rPr>
          <w:lang w:val="en-GB"/>
        </w:rPr>
        <w:t>)</w:t>
      </w:r>
    </w:p>
    <w:p w14:paraId="53DA2A2B" w14:textId="3D979944" w:rsidR="006D19F1" w:rsidRPr="00571DDA" w:rsidRDefault="00CA44AC" w:rsidP="006D19F1">
      <w:pPr>
        <w:pStyle w:val="ListParagraph"/>
        <w:numPr>
          <w:ilvl w:val="1"/>
          <w:numId w:val="4"/>
        </w:numPr>
        <w:rPr>
          <w:lang w:val="en-GB"/>
        </w:rPr>
      </w:pPr>
      <w:hyperlink r:id="rId11" w:history="1">
        <w:r w:rsidR="006D19F1" w:rsidRPr="00571DDA">
          <w:rPr>
            <w:rStyle w:val="Hyperlink"/>
            <w:color w:val="auto"/>
            <w:lang w:val="en-GB"/>
          </w:rPr>
          <w:t>https://www.eatforhealth.gov.au/eat-health-calculators</w:t>
        </w:r>
      </w:hyperlink>
      <w:r w:rsidR="006D19F1" w:rsidRPr="00571DDA">
        <w:rPr>
          <w:lang w:val="en-GB"/>
        </w:rPr>
        <w:t xml:space="preserve"> (</w:t>
      </w:r>
      <w:r w:rsidR="00BD085D" w:rsidRPr="00571DDA">
        <w:rPr>
          <w:lang w:val="bg-BG"/>
        </w:rPr>
        <w:t>Калкулатор за енергийното съдържание на храните на английски</w:t>
      </w:r>
      <w:r w:rsidR="006D19F1" w:rsidRPr="00571DDA">
        <w:rPr>
          <w:lang w:val="en-GB"/>
        </w:rPr>
        <w:t>)</w:t>
      </w:r>
    </w:p>
    <w:p w14:paraId="73908E22" w14:textId="41048879" w:rsidR="00762A35" w:rsidRPr="00571DDA" w:rsidRDefault="006D19F1" w:rsidP="00762A35">
      <w:pPr>
        <w:pStyle w:val="ListParagraph"/>
        <w:numPr>
          <w:ilvl w:val="1"/>
          <w:numId w:val="4"/>
        </w:numPr>
        <w:rPr>
          <w:lang w:val="en-GB"/>
        </w:rPr>
      </w:pPr>
      <w:r w:rsidRPr="00571DDA">
        <w:rPr>
          <w:lang w:val="en-GB"/>
        </w:rPr>
        <w:t xml:space="preserve">http://www.mydailyintake.net/calculating-energy/ </w:t>
      </w:r>
      <w:r w:rsidR="00550467" w:rsidRPr="00571DDA">
        <w:rPr>
          <w:lang w:val="en-GB"/>
        </w:rPr>
        <w:t>(</w:t>
      </w:r>
      <w:r w:rsidR="00BD085D" w:rsidRPr="00571DDA">
        <w:rPr>
          <w:lang w:val="bg-BG"/>
        </w:rPr>
        <w:t>Пресмятане на енергийното съдържание на храните</w:t>
      </w:r>
      <w:r w:rsidRPr="00571DDA">
        <w:rPr>
          <w:lang w:val="en-GB"/>
        </w:rPr>
        <w:t>)</w:t>
      </w:r>
    </w:p>
    <w:p w14:paraId="0BA99861" w14:textId="7FBC39AE" w:rsidR="006D19F1" w:rsidRPr="00571DDA" w:rsidRDefault="006D19F1" w:rsidP="00762A35">
      <w:pPr>
        <w:pStyle w:val="ListParagraph"/>
        <w:numPr>
          <w:ilvl w:val="1"/>
          <w:numId w:val="4"/>
        </w:numPr>
        <w:rPr>
          <w:lang w:val="en-GB"/>
        </w:rPr>
      </w:pPr>
      <w:r w:rsidRPr="00571DDA">
        <w:rPr>
          <w:lang w:val="en-GB"/>
        </w:rPr>
        <w:t>http://caloriescount.com/foodcalculator.aspx (</w:t>
      </w:r>
      <w:r w:rsidR="00BD085D" w:rsidRPr="00571DDA">
        <w:rPr>
          <w:lang w:val="bg-BG"/>
        </w:rPr>
        <w:t>Калкулатор за калорийното съдържание на храните</w:t>
      </w:r>
      <w:r w:rsidRPr="00571DDA">
        <w:rPr>
          <w:lang w:val="en-GB"/>
        </w:rPr>
        <w:t>)</w:t>
      </w:r>
    </w:p>
    <w:p w14:paraId="0447759E" w14:textId="5006887E" w:rsidR="00247C9F" w:rsidRPr="00571DDA" w:rsidRDefault="003C618C" w:rsidP="002B6193">
      <w:pPr>
        <w:spacing w:after="0"/>
        <w:rPr>
          <w:b/>
          <w:lang w:val="en-US"/>
        </w:rPr>
      </w:pPr>
      <w:r w:rsidRPr="00571DDA">
        <w:rPr>
          <w:b/>
          <w:lang w:val="bg-BG"/>
        </w:rPr>
        <w:lastRenderedPageBreak/>
        <w:t xml:space="preserve">Предложения за дискусионни въпроси между учителите на уебсайта </w:t>
      </w:r>
    </w:p>
    <w:p w14:paraId="4477E09A" w14:textId="13C1BFA5" w:rsidR="008841D4" w:rsidRPr="00571DDA" w:rsidRDefault="003C618C" w:rsidP="008841D4">
      <w:pPr>
        <w:spacing w:after="0"/>
        <w:rPr>
          <w:lang w:val="en-GB"/>
        </w:rPr>
      </w:pPr>
      <w:r w:rsidRPr="00571DDA">
        <w:rPr>
          <w:lang w:val="bg-BG"/>
        </w:rPr>
        <w:t>Какви последици инициира задачата?</w:t>
      </w:r>
    </w:p>
    <w:p w14:paraId="45F0423F" w14:textId="21852001" w:rsidR="00063578" w:rsidRPr="00571DDA" w:rsidRDefault="00C7393E" w:rsidP="008841D4">
      <w:pPr>
        <w:spacing w:after="0"/>
        <w:rPr>
          <w:lang w:val="en-GB"/>
        </w:rPr>
      </w:pPr>
      <w:r w:rsidRPr="00571DDA">
        <w:rPr>
          <w:lang w:val="bg-BG"/>
        </w:rPr>
        <w:t>От каква помощ се нуждаят учениците, за да решат задачата</w:t>
      </w:r>
      <w:r w:rsidR="008841D4" w:rsidRPr="00571DDA">
        <w:rPr>
          <w:lang w:val="en-GB"/>
        </w:rPr>
        <w:t>?</w:t>
      </w:r>
    </w:p>
    <w:p w14:paraId="2D2A3D9C" w14:textId="77777777" w:rsidR="008841D4" w:rsidRPr="00571DDA" w:rsidRDefault="008841D4" w:rsidP="008841D4">
      <w:pPr>
        <w:spacing w:after="0"/>
        <w:rPr>
          <w:lang w:val="en-GB"/>
        </w:rPr>
      </w:pPr>
    </w:p>
    <w:p w14:paraId="7D66894C" w14:textId="77777777" w:rsidR="00EE1E14" w:rsidRPr="00571DDA" w:rsidRDefault="00EE1E14" w:rsidP="008841D4">
      <w:pPr>
        <w:spacing w:after="0"/>
        <w:rPr>
          <w:lang w:val="en-GB"/>
        </w:rPr>
      </w:pPr>
    </w:p>
    <w:p w14:paraId="61AE1FF8" w14:textId="268209F4" w:rsidR="00247C9F" w:rsidRPr="00571DDA" w:rsidRDefault="00C7393E" w:rsidP="00C7393E">
      <w:pPr>
        <w:spacing w:after="0"/>
        <w:rPr>
          <w:b/>
          <w:lang w:val="bg-BG"/>
        </w:rPr>
      </w:pPr>
      <w:r w:rsidRPr="00571DDA">
        <w:rPr>
          <w:b/>
          <w:lang w:val="bg-BG"/>
        </w:rPr>
        <w:t>Възможност за адаптиране към други възрастови групи</w:t>
      </w:r>
    </w:p>
    <w:p w14:paraId="700D5491" w14:textId="15DCEEDC" w:rsidR="005C393C" w:rsidRPr="00571DDA" w:rsidRDefault="003D29D7" w:rsidP="00550467">
      <w:pPr>
        <w:spacing w:after="0"/>
        <w:jc w:val="both"/>
        <w:rPr>
          <w:lang w:val="en-GB"/>
        </w:rPr>
      </w:pPr>
      <w:r w:rsidRPr="00571DDA">
        <w:rPr>
          <w:lang w:val="bg-BG"/>
        </w:rPr>
        <w:t xml:space="preserve">Задачите могат да бъдат използвани за различни групи учащи се: за по-малките </w:t>
      </w:r>
      <w:r w:rsidR="00550467" w:rsidRPr="00571DDA">
        <w:rPr>
          <w:lang w:val="en-GB"/>
        </w:rPr>
        <w:t>(</w:t>
      </w:r>
      <w:r w:rsidRPr="00571DDA">
        <w:rPr>
          <w:lang w:val="bg-BG"/>
        </w:rPr>
        <w:t>без фокусиране върху пресмятанията</w:t>
      </w:r>
      <w:r w:rsidR="00550467" w:rsidRPr="00571DDA">
        <w:rPr>
          <w:lang w:val="en-GB"/>
        </w:rPr>
        <w:t>,</w:t>
      </w:r>
      <w:r w:rsidRPr="00571DDA">
        <w:rPr>
          <w:lang w:val="bg-BG"/>
        </w:rPr>
        <w:t xml:space="preserve"> а по-скоро върху качествената страна на проблема</w:t>
      </w:r>
      <w:r w:rsidR="00550467" w:rsidRPr="00571DDA">
        <w:rPr>
          <w:lang w:val="en-GB"/>
        </w:rPr>
        <w:t xml:space="preserve">) </w:t>
      </w:r>
      <w:r w:rsidRPr="00571DDA">
        <w:rPr>
          <w:lang w:val="bg-BG"/>
        </w:rPr>
        <w:t>или за по-големите</w:t>
      </w:r>
      <w:r w:rsidR="00377CF5" w:rsidRPr="00571DDA">
        <w:rPr>
          <w:lang w:val="en-GB"/>
        </w:rPr>
        <w:t xml:space="preserve"> </w:t>
      </w:r>
      <w:r w:rsidR="00550467" w:rsidRPr="00571DDA">
        <w:rPr>
          <w:lang w:val="en-GB"/>
        </w:rPr>
        <w:t>(</w:t>
      </w:r>
      <w:r w:rsidRPr="00571DDA">
        <w:rPr>
          <w:lang w:val="bg-BG"/>
        </w:rPr>
        <w:t>по-аналитично ориентирани и свързани с биохимията</w:t>
      </w:r>
      <w:r w:rsidR="00550467" w:rsidRPr="00571DDA">
        <w:rPr>
          <w:lang w:val="en-GB"/>
        </w:rPr>
        <w:t xml:space="preserve">). </w:t>
      </w:r>
    </w:p>
    <w:p w14:paraId="4A7238F5" w14:textId="77777777" w:rsidR="008841D4" w:rsidRPr="00571DDA" w:rsidRDefault="008841D4" w:rsidP="008841D4">
      <w:pPr>
        <w:spacing w:after="0"/>
        <w:rPr>
          <w:lang w:val="en-GB"/>
        </w:rPr>
      </w:pPr>
    </w:p>
    <w:p w14:paraId="796C4FAB" w14:textId="7021D5A0" w:rsidR="00C7393E" w:rsidRPr="00571DDA" w:rsidRDefault="00C7393E" w:rsidP="00C7393E">
      <w:pPr>
        <w:spacing w:after="0"/>
        <w:rPr>
          <w:b/>
          <w:lang w:val="bg-BG"/>
        </w:rPr>
      </w:pPr>
      <w:r w:rsidRPr="00571DDA">
        <w:rPr>
          <w:b/>
          <w:lang w:val="bg-BG"/>
        </w:rPr>
        <w:t>Възможност за адаптиране към конкретната страна</w:t>
      </w:r>
    </w:p>
    <w:p w14:paraId="69185B2B" w14:textId="0DB67FAE" w:rsidR="008841D4" w:rsidRDefault="00004600" w:rsidP="00C7393E">
      <w:pPr>
        <w:rPr>
          <w:lang w:val="en-GB"/>
        </w:rPr>
      </w:pPr>
      <w:r w:rsidRPr="00571DDA">
        <w:rPr>
          <w:lang w:val="bg-BG"/>
        </w:rPr>
        <w:t>Предложената задача</w:t>
      </w:r>
      <w:r w:rsidR="006659CA">
        <w:rPr>
          <w:lang w:val="bg-BG"/>
        </w:rPr>
        <w:t>(</w:t>
      </w:r>
      <w:r w:rsidRPr="00571DDA">
        <w:rPr>
          <w:lang w:val="bg-BG"/>
        </w:rPr>
        <w:t>задания</w:t>
      </w:r>
      <w:r w:rsidR="006659CA">
        <w:rPr>
          <w:lang w:val="bg-BG"/>
        </w:rPr>
        <w:t>)</w:t>
      </w:r>
      <w:r w:rsidRPr="00571DDA">
        <w:rPr>
          <w:lang w:val="bg-BG"/>
        </w:rPr>
        <w:t xml:space="preserve"> е</w:t>
      </w:r>
      <w:r w:rsidR="006659CA">
        <w:rPr>
          <w:lang w:val="bg-BG"/>
        </w:rPr>
        <w:t>(</w:t>
      </w:r>
      <w:r w:rsidRPr="00571DDA">
        <w:rPr>
          <w:lang w:val="bg-BG"/>
        </w:rPr>
        <w:t>са</w:t>
      </w:r>
      <w:r w:rsidR="006659CA">
        <w:rPr>
          <w:lang w:val="bg-BG"/>
        </w:rPr>
        <w:t>)</w:t>
      </w:r>
      <w:bookmarkStart w:id="0" w:name="_GoBack"/>
      <w:bookmarkEnd w:id="0"/>
      <w:r w:rsidRPr="00571DDA">
        <w:rPr>
          <w:lang w:val="bg-BG"/>
        </w:rPr>
        <w:t xml:space="preserve"> дълбоко ориентирани към културата на съответната страна.  Необходимо е да се намери национален онлайн калкулатор на енергийната стойност на храните, подобен на английския и чешкия от примерите</w:t>
      </w:r>
      <w:r w:rsidR="00550467" w:rsidRPr="00571DDA">
        <w:rPr>
          <w:lang w:val="en-GB"/>
        </w:rPr>
        <w:t xml:space="preserve">. </w:t>
      </w:r>
      <w:r w:rsidR="00C16BDF" w:rsidRPr="00571DDA">
        <w:rPr>
          <w:lang w:val="bg-BG"/>
        </w:rPr>
        <w:t xml:space="preserve">Резултатите за конкретната страна могат да бъдат високо мотивиращи в сравнение с резултатите за други страни </w:t>
      </w:r>
      <w:r w:rsidR="00550467" w:rsidRPr="00571DDA">
        <w:rPr>
          <w:lang w:val="en-GB"/>
        </w:rPr>
        <w:t>(</w:t>
      </w:r>
      <w:r w:rsidR="00C16BDF" w:rsidRPr="00571DDA">
        <w:rPr>
          <w:lang w:val="bg-BG"/>
        </w:rPr>
        <w:t>различни традиции в храненето</w:t>
      </w:r>
      <w:r w:rsidR="00550467" w:rsidRPr="00571DDA">
        <w:rPr>
          <w:lang w:val="en-GB"/>
        </w:rPr>
        <w:t xml:space="preserve">, </w:t>
      </w:r>
      <w:r w:rsidR="00C16BDF" w:rsidRPr="00571DDA">
        <w:rPr>
          <w:lang w:val="bg-BG"/>
        </w:rPr>
        <w:t>различни климатични условия</w:t>
      </w:r>
      <w:r w:rsidR="00550467" w:rsidRPr="00571DDA">
        <w:rPr>
          <w:lang w:val="en-GB"/>
        </w:rPr>
        <w:t xml:space="preserve">, </w:t>
      </w:r>
      <w:r w:rsidR="00C16BDF" w:rsidRPr="00571DDA">
        <w:rPr>
          <w:lang w:val="bg-BG"/>
        </w:rPr>
        <w:t>различни</w:t>
      </w:r>
      <w:r w:rsidR="00C16BDF" w:rsidRPr="00571DDA">
        <w:rPr>
          <w:lang w:val="en-GB"/>
        </w:rPr>
        <w:t xml:space="preserve"> </w:t>
      </w:r>
      <w:r w:rsidR="00C16BDF" w:rsidRPr="00571DDA">
        <w:rPr>
          <w:lang w:val="bg-BG"/>
        </w:rPr>
        <w:t xml:space="preserve">селскостопански култури и </w:t>
      </w:r>
      <w:proofErr w:type="spellStart"/>
      <w:r w:rsidR="00C16BDF" w:rsidRPr="00571DDA">
        <w:rPr>
          <w:lang w:val="bg-BG"/>
        </w:rPr>
        <w:t>пр</w:t>
      </w:r>
      <w:proofErr w:type="spellEnd"/>
      <w:r w:rsidR="00550467" w:rsidRPr="00571DDA">
        <w:rPr>
          <w:lang w:val="en-GB"/>
        </w:rPr>
        <w:t>.).</w:t>
      </w:r>
    </w:p>
    <w:p w14:paraId="666E7DF9" w14:textId="77777777" w:rsidR="000010E7" w:rsidRDefault="000010E7" w:rsidP="008841D4">
      <w:pPr>
        <w:spacing w:after="0"/>
        <w:rPr>
          <w:lang w:val="en-GB"/>
        </w:rPr>
      </w:pPr>
    </w:p>
    <w:p w14:paraId="37E3B53D" w14:textId="77777777" w:rsidR="002B5D32" w:rsidRDefault="000010E7" w:rsidP="008841D4">
      <w:pPr>
        <w:spacing w:after="0"/>
        <w:rPr>
          <w:rFonts w:ascii="Trebuchet MS" w:hAnsi="Trebuchet MS"/>
          <w:color w:val="666666"/>
          <w:sz w:val="11"/>
          <w:szCs w:val="11"/>
          <w:shd w:val="clear" w:color="auto" w:fill="FFFFFF"/>
          <w:lang w:val="en-US"/>
        </w:rPr>
      </w:pPr>
      <w:r w:rsidRPr="00377C3F">
        <w:rPr>
          <w:rStyle w:val="subkop"/>
          <w:rFonts w:ascii="Trebuchet MS" w:hAnsi="Trebuchet MS"/>
          <w:b w:val="0"/>
          <w:bCs w:val="0"/>
          <w:lang w:val="en-US"/>
        </w:rPr>
        <w:t>Copyright/Creative Commons</w:t>
      </w:r>
      <w:r w:rsidRPr="00377C3F">
        <w:rPr>
          <w:rFonts w:ascii="Trebuchet MS" w:hAnsi="Trebuchet MS"/>
          <w:color w:val="666666"/>
          <w:sz w:val="11"/>
          <w:szCs w:val="11"/>
          <w:lang w:val="en-US"/>
        </w:rPr>
        <w:br/>
      </w:r>
    </w:p>
    <w:p w14:paraId="35ACC1B3" w14:textId="77777777" w:rsidR="000010E7" w:rsidRDefault="002B5D32" w:rsidP="008841D4">
      <w:pPr>
        <w:spacing w:after="0"/>
        <w:rPr>
          <w:lang w:val="en-GB"/>
        </w:rPr>
      </w:pPr>
      <w:r>
        <w:rPr>
          <w:rFonts w:ascii="Trebuchet MS" w:hAnsi="Trebuchet MS"/>
          <w:color w:val="666666"/>
          <w:sz w:val="11"/>
          <w:szCs w:val="11"/>
          <w:shd w:val="clear" w:color="auto" w:fill="FFFFFF"/>
          <w:lang w:val="en-US"/>
        </w:rPr>
        <w:t>Mascil partner: CZ</w:t>
      </w:r>
      <w:r w:rsidR="000010E7" w:rsidRPr="00377C3F">
        <w:rPr>
          <w:rFonts w:ascii="Trebuchet MS" w:hAnsi="Trebuchet MS"/>
          <w:color w:val="666666"/>
          <w:sz w:val="11"/>
          <w:szCs w:val="11"/>
          <w:lang w:val="en-US"/>
        </w:rPr>
        <w:br/>
      </w:r>
      <w:r w:rsidR="000010E7" w:rsidRPr="00377C3F">
        <w:rPr>
          <w:rFonts w:ascii="Trebuchet MS" w:hAnsi="Trebuchet MS"/>
          <w:color w:val="666666"/>
          <w:sz w:val="11"/>
          <w:szCs w:val="11"/>
          <w:lang w:val="en-US"/>
        </w:rPr>
        <w:br/>
      </w:r>
      <w:r w:rsidR="000010E7" w:rsidRPr="00377C3F">
        <w:rPr>
          <w:rFonts w:ascii="Trebuchet MS" w:hAnsi="Trebuchet MS"/>
          <w:color w:val="666666"/>
          <w:sz w:val="11"/>
          <w:szCs w:val="11"/>
          <w:shd w:val="clear" w:color="auto" w:fill="FFFFFF"/>
          <w:lang w:val="en-US"/>
        </w:rPr>
        <w:t>Materials are published under the</w:t>
      </w:r>
      <w:r w:rsidR="000010E7" w:rsidRPr="00377C3F">
        <w:rPr>
          <w:rFonts w:ascii="Trebuchet MS" w:hAnsi="Trebuchet MS"/>
          <w:color w:val="666666"/>
          <w:sz w:val="11"/>
          <w:szCs w:val="11"/>
          <w:lang w:val="en-US"/>
        </w:rPr>
        <w:br/>
      </w:r>
      <w:hyperlink r:id="rId12" w:history="1">
        <w:r w:rsidR="000010E7" w:rsidRPr="00377C3F">
          <w:rPr>
            <w:rStyle w:val="Hyperlink"/>
            <w:rFonts w:ascii="Trebuchet MS" w:hAnsi="Trebuchet MS"/>
            <w:sz w:val="11"/>
            <w:szCs w:val="11"/>
            <w:lang w:val="en-US"/>
          </w:rPr>
          <w:t>CC BY-NC-SA 4.0</w:t>
        </w:r>
      </w:hyperlink>
      <w:r w:rsidR="000010E7" w:rsidRPr="00377C3F">
        <w:rPr>
          <w:rStyle w:val="apple-converted-space"/>
          <w:rFonts w:ascii="Trebuchet MS" w:hAnsi="Trebuchet MS"/>
          <w:color w:val="666666"/>
          <w:sz w:val="11"/>
          <w:szCs w:val="11"/>
          <w:shd w:val="clear" w:color="auto" w:fill="FFFFFF"/>
          <w:lang w:val="en-US"/>
        </w:rPr>
        <w:t> </w:t>
      </w:r>
      <w:r w:rsidR="000010E7" w:rsidRPr="00377C3F">
        <w:rPr>
          <w:rFonts w:ascii="Trebuchet MS" w:hAnsi="Trebuchet MS"/>
          <w:color w:val="666666"/>
          <w:sz w:val="11"/>
          <w:szCs w:val="11"/>
          <w:shd w:val="clear" w:color="auto" w:fill="FFFFFF"/>
          <w:lang w:val="en-US"/>
        </w:rPr>
        <w:t>license.</w:t>
      </w:r>
      <w:r w:rsidR="000010E7" w:rsidRPr="00377C3F">
        <w:rPr>
          <w:rFonts w:ascii="Trebuchet MS" w:hAnsi="Trebuchet MS"/>
          <w:color w:val="666666"/>
          <w:sz w:val="11"/>
          <w:szCs w:val="11"/>
          <w:lang w:val="en-US"/>
        </w:rPr>
        <w:br/>
      </w:r>
      <w:r w:rsidR="000010E7" w:rsidRPr="00377C3F">
        <w:rPr>
          <w:rFonts w:ascii="Trebuchet MS" w:hAnsi="Trebuchet MS"/>
          <w:color w:val="666666"/>
          <w:sz w:val="11"/>
          <w:szCs w:val="11"/>
          <w:lang w:val="en-US"/>
        </w:rPr>
        <w:br/>
      </w:r>
      <w:r w:rsidR="000010E7">
        <w:rPr>
          <w:noProof/>
          <w:lang w:val="en-US"/>
        </w:rPr>
        <w:drawing>
          <wp:inline distT="0" distB="0" distL="0" distR="0" wp14:anchorId="6AEE30A2" wp14:editId="4ECCB4CE">
            <wp:extent cx="284480" cy="284480"/>
            <wp:effectExtent l="19050" t="0" r="1270" b="0"/>
            <wp:docPr id="6" name="Paveikslėlis 2" descr="http://www.fisme.science.uu.nl/images/cc_attrib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sme.science.uu.nl/images/cc_attribu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0E7">
        <w:rPr>
          <w:noProof/>
          <w:lang w:val="en-US"/>
        </w:rPr>
        <w:drawing>
          <wp:inline distT="0" distB="0" distL="0" distR="0" wp14:anchorId="1E4129B7" wp14:editId="44EA1404">
            <wp:extent cx="284480" cy="284480"/>
            <wp:effectExtent l="19050" t="0" r="1270" b="0"/>
            <wp:docPr id="3" name="Paveikslėlis 3" descr="http://www.fisme.science.uu.nl/images/cc_noncommer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isme.science.uu.nl/images/cc_noncommerci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0E7">
        <w:rPr>
          <w:noProof/>
          <w:lang w:val="en-US"/>
        </w:rPr>
        <w:drawing>
          <wp:inline distT="0" distB="0" distL="0" distR="0" wp14:anchorId="630EC2AE" wp14:editId="484F7643">
            <wp:extent cx="284480" cy="284480"/>
            <wp:effectExtent l="19050" t="0" r="1270" b="0"/>
            <wp:docPr id="4" name="Paveikslėlis 4" descr="http://www.fisme.science.uu.nl/images/cc_sharea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sme.science.uu.nl/images/cc_sharealik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0E7" w:rsidSect="00300191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3E877" w14:textId="77777777" w:rsidR="00CA44AC" w:rsidRDefault="00CA44AC" w:rsidP="00D272BA">
      <w:pPr>
        <w:spacing w:after="0" w:line="240" w:lineRule="auto"/>
      </w:pPr>
      <w:r>
        <w:separator/>
      </w:r>
    </w:p>
  </w:endnote>
  <w:endnote w:type="continuationSeparator" w:id="0">
    <w:p w14:paraId="58CB9562" w14:textId="77777777" w:rsidR="00CA44AC" w:rsidRDefault="00CA44AC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EDFF4" w14:textId="77777777" w:rsidR="00247C9F" w:rsidRDefault="00247C9F" w:rsidP="00585D54">
    <w:pPr>
      <w:pStyle w:val="Footer"/>
      <w:jc w:val="right"/>
    </w:pPr>
  </w:p>
  <w:p w14:paraId="44A288AE" w14:textId="28F351C6" w:rsidR="005D792B" w:rsidRDefault="00D901DE" w:rsidP="005D792B">
    <w:pPr>
      <w:pStyle w:val="Footer"/>
      <w:rPr>
        <w:rFonts w:ascii="Calibri" w:hAnsi="Calibri"/>
        <w:sz w:val="16"/>
        <w:szCs w:val="16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C65094" wp14:editId="250E3F65">
          <wp:simplePos x="0" y="0"/>
          <wp:positionH relativeFrom="margin">
            <wp:posOffset>5563235</wp:posOffset>
          </wp:positionH>
          <wp:positionV relativeFrom="margin">
            <wp:posOffset>8823960</wp:posOffset>
          </wp:positionV>
          <wp:extent cx="517525" cy="337820"/>
          <wp:effectExtent l="0" t="0" r="0" b="5080"/>
          <wp:wrapSquare wrapText="bothSides"/>
          <wp:docPr id="2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393E" w:rsidRPr="00C7393E">
      <w:rPr>
        <w:sz w:val="16"/>
        <w:szCs w:val="16"/>
        <w:lang w:val="bg-BG"/>
      </w:rPr>
      <w:t xml:space="preserve"> </w:t>
    </w:r>
    <w:r w:rsidR="00C7393E">
      <w:rPr>
        <w:sz w:val="16"/>
        <w:szCs w:val="16"/>
        <w:lang w:val="bg-BG"/>
      </w:rPr>
      <w:t xml:space="preserve">Проектът </w:t>
    </w:r>
    <w:r w:rsidR="00C7393E">
      <w:rPr>
        <w:sz w:val="16"/>
        <w:szCs w:val="16"/>
      </w:rPr>
      <w:t>mascil</w:t>
    </w:r>
    <w:r w:rsidR="00C7393E"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</w:t>
    </w:r>
    <w:proofErr w:type="spellStart"/>
    <w:r w:rsidR="00C7393E">
      <w:rPr>
        <w:sz w:val="16"/>
        <w:szCs w:val="16"/>
        <w:lang w:val="bg-BG"/>
      </w:rPr>
      <w:t>No</w:t>
    </w:r>
    <w:proofErr w:type="spellEnd"/>
    <w:r w:rsidR="00C7393E">
      <w:rPr>
        <w:sz w:val="16"/>
        <w:szCs w:val="16"/>
        <w:lang w:val="bg-BG"/>
      </w:rPr>
      <w:t>. 320 693</w:t>
    </w:r>
  </w:p>
  <w:p w14:paraId="2A624A69" w14:textId="77777777" w:rsidR="006E025A" w:rsidRDefault="006E025A" w:rsidP="005D792B">
    <w:pPr>
      <w:pStyle w:val="Footer"/>
      <w:rPr>
        <w:rFonts w:ascii="Calibri" w:hAnsi="Calibri"/>
        <w:sz w:val="16"/>
        <w:szCs w:val="16"/>
        <w:lang w:val="en-US"/>
      </w:rPr>
    </w:pPr>
  </w:p>
  <w:p w14:paraId="17CD77C3" w14:textId="77777777" w:rsidR="006E025A" w:rsidRPr="00063578" w:rsidRDefault="00063578" w:rsidP="00063578">
    <w:pPr>
      <w:pStyle w:val="Footer"/>
      <w:rPr>
        <w:sz w:val="12"/>
        <w:szCs w:val="16"/>
        <w:lang w:val="en-US"/>
      </w:rPr>
    </w:pPr>
    <w:r w:rsidRPr="00063578">
      <w:rPr>
        <w:i/>
        <w:iCs/>
        <w:color w:val="000000"/>
        <w:sz w:val="18"/>
        <w:lang w:val="en-GB"/>
      </w:rPr>
      <w:t>CC BY-</w:t>
    </w:r>
    <w:r w:rsidR="00866C62">
      <w:rPr>
        <w:i/>
        <w:iCs/>
        <w:color w:val="000000"/>
        <w:sz w:val="18"/>
        <w:lang w:val="en-GB"/>
      </w:rPr>
      <w:t>NC-</w:t>
    </w:r>
    <w:r w:rsidRPr="00063578">
      <w:rPr>
        <w:i/>
        <w:iCs/>
        <w:color w:val="000000"/>
        <w:sz w:val="18"/>
        <w:lang w:val="en-GB"/>
      </w:rPr>
      <w:t xml:space="preserve">SA </w:t>
    </w:r>
    <w:r w:rsidR="00866C62">
      <w:rPr>
        <w:i/>
        <w:iCs/>
        <w:color w:val="000000"/>
        <w:sz w:val="18"/>
        <w:lang w:val="en-GB"/>
      </w:rPr>
      <w:t xml:space="preserve">4.0 </w:t>
    </w:r>
    <w:proofErr w:type="spellStart"/>
    <w:r w:rsidRPr="00063578">
      <w:rPr>
        <w:i/>
        <w:iCs/>
        <w:color w:val="000000"/>
        <w:sz w:val="18"/>
        <w:lang w:val="en-GB"/>
      </w:rPr>
      <w:t>mascil</w:t>
    </w:r>
    <w:proofErr w:type="spellEnd"/>
    <w:r w:rsidRPr="00063578">
      <w:rPr>
        <w:i/>
        <w:iCs/>
        <w:color w:val="000000"/>
        <w:sz w:val="18"/>
        <w:lang w:val="en-GB"/>
      </w:rPr>
      <w:t xml:space="preserve"> </w:t>
    </w:r>
    <w:r w:rsidR="00866C62">
      <w:rPr>
        <w:i/>
        <w:iCs/>
        <w:color w:val="000000"/>
        <w:sz w:val="18"/>
        <w:lang w:val="en-GB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13EBB" w14:textId="77777777" w:rsidR="00CA44AC" w:rsidRDefault="00CA44AC" w:rsidP="00D272BA">
      <w:pPr>
        <w:spacing w:after="0" w:line="240" w:lineRule="auto"/>
      </w:pPr>
      <w:r>
        <w:separator/>
      </w:r>
    </w:p>
  </w:footnote>
  <w:footnote w:type="continuationSeparator" w:id="0">
    <w:p w14:paraId="3C0D2E9A" w14:textId="77777777" w:rsidR="00CA44AC" w:rsidRDefault="00CA44AC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F1B3" w14:textId="77777777" w:rsidR="00D272BA" w:rsidRDefault="004C32A2" w:rsidP="00247C9F">
    <w:pPr>
      <w:pStyle w:val="Header"/>
      <w:jc w:val="right"/>
    </w:pPr>
    <w:r>
      <w:t xml:space="preserve"> </w:t>
    </w:r>
    <w:r>
      <w:tab/>
    </w:r>
    <w:r>
      <w:tab/>
    </w:r>
    <w:r w:rsidR="00892850">
      <w:t xml:space="preserve"> </w:t>
    </w:r>
    <w:r w:rsidR="00892850">
      <w:rPr>
        <w:rFonts w:ascii="Arial" w:hAnsi="Arial" w:cs="Arial"/>
        <w:b/>
        <w:noProof/>
        <w:sz w:val="32"/>
        <w:szCs w:val="32"/>
        <w:lang w:val="en-US"/>
      </w:rPr>
      <w:drawing>
        <wp:inline distT="0" distB="0" distL="0" distR="0" wp14:anchorId="7DBC82E9" wp14:editId="43F72153">
          <wp:extent cx="919697" cy="474452"/>
          <wp:effectExtent l="0" t="0" r="0" b="1905"/>
          <wp:docPr id="5" name="Bilde 5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66" cy="474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4117E"/>
    <w:multiLevelType w:val="hybridMultilevel"/>
    <w:tmpl w:val="4210B86A"/>
    <w:lvl w:ilvl="0" w:tplc="6A8E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20DFC"/>
    <w:multiLevelType w:val="hybridMultilevel"/>
    <w:tmpl w:val="74EAA27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97E40"/>
    <w:multiLevelType w:val="multilevel"/>
    <w:tmpl w:val="7FDC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1B6951"/>
    <w:multiLevelType w:val="hybridMultilevel"/>
    <w:tmpl w:val="1C007CE4"/>
    <w:lvl w:ilvl="0" w:tplc="BF688A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907B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46E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4F6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8E6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AED0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FACA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6FB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C2C5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BA"/>
    <w:rsid w:val="000010E7"/>
    <w:rsid w:val="00004600"/>
    <w:rsid w:val="0001457E"/>
    <w:rsid w:val="000203E5"/>
    <w:rsid w:val="0002140F"/>
    <w:rsid w:val="00063578"/>
    <w:rsid w:val="0006628F"/>
    <w:rsid w:val="000824B3"/>
    <w:rsid w:val="000B26D3"/>
    <w:rsid w:val="000D6CDD"/>
    <w:rsid w:val="000E331F"/>
    <w:rsid w:val="000F5656"/>
    <w:rsid w:val="00105A49"/>
    <w:rsid w:val="001151B3"/>
    <w:rsid w:val="00140A71"/>
    <w:rsid w:val="0014600B"/>
    <w:rsid w:val="001949CE"/>
    <w:rsid w:val="00247C9F"/>
    <w:rsid w:val="00271091"/>
    <w:rsid w:val="002B3E33"/>
    <w:rsid w:val="002B5D32"/>
    <w:rsid w:val="002B6193"/>
    <w:rsid w:val="002D22D8"/>
    <w:rsid w:val="002D3C74"/>
    <w:rsid w:val="00300191"/>
    <w:rsid w:val="00311303"/>
    <w:rsid w:val="003205B3"/>
    <w:rsid w:val="003350B4"/>
    <w:rsid w:val="0034762C"/>
    <w:rsid w:val="00360E7B"/>
    <w:rsid w:val="00377C3F"/>
    <w:rsid w:val="00377CF5"/>
    <w:rsid w:val="00380179"/>
    <w:rsid w:val="003C1FCB"/>
    <w:rsid w:val="003C618C"/>
    <w:rsid w:val="003D29D7"/>
    <w:rsid w:val="003D385A"/>
    <w:rsid w:val="003F7882"/>
    <w:rsid w:val="00432283"/>
    <w:rsid w:val="00470D15"/>
    <w:rsid w:val="00483A9E"/>
    <w:rsid w:val="004920D9"/>
    <w:rsid w:val="004C32A2"/>
    <w:rsid w:val="004E0B0D"/>
    <w:rsid w:val="004E7716"/>
    <w:rsid w:val="004F3ACB"/>
    <w:rsid w:val="004F5776"/>
    <w:rsid w:val="00517074"/>
    <w:rsid w:val="0053141B"/>
    <w:rsid w:val="00543F20"/>
    <w:rsid w:val="00550467"/>
    <w:rsid w:val="00560384"/>
    <w:rsid w:val="0057010A"/>
    <w:rsid w:val="00571DDA"/>
    <w:rsid w:val="00585D54"/>
    <w:rsid w:val="005B116D"/>
    <w:rsid w:val="005C393C"/>
    <w:rsid w:val="005D475F"/>
    <w:rsid w:val="005D792B"/>
    <w:rsid w:val="005F25D9"/>
    <w:rsid w:val="00601DC3"/>
    <w:rsid w:val="006336F9"/>
    <w:rsid w:val="0065607F"/>
    <w:rsid w:val="006659CA"/>
    <w:rsid w:val="006D19F1"/>
    <w:rsid w:val="006E025A"/>
    <w:rsid w:val="006F58E1"/>
    <w:rsid w:val="00723EE7"/>
    <w:rsid w:val="00762A35"/>
    <w:rsid w:val="008339F2"/>
    <w:rsid w:val="00834E09"/>
    <w:rsid w:val="00854B5B"/>
    <w:rsid w:val="00866C62"/>
    <w:rsid w:val="00881C27"/>
    <w:rsid w:val="008841D4"/>
    <w:rsid w:val="0088677F"/>
    <w:rsid w:val="00892850"/>
    <w:rsid w:val="00897860"/>
    <w:rsid w:val="008B5900"/>
    <w:rsid w:val="008C58E2"/>
    <w:rsid w:val="00907E91"/>
    <w:rsid w:val="00926232"/>
    <w:rsid w:val="009328B4"/>
    <w:rsid w:val="00943BA6"/>
    <w:rsid w:val="00965305"/>
    <w:rsid w:val="009977AA"/>
    <w:rsid w:val="009C3E98"/>
    <w:rsid w:val="00A033A5"/>
    <w:rsid w:val="00A218CA"/>
    <w:rsid w:val="00A36966"/>
    <w:rsid w:val="00A77E84"/>
    <w:rsid w:val="00A8040B"/>
    <w:rsid w:val="00AB3B73"/>
    <w:rsid w:val="00AC6FE6"/>
    <w:rsid w:val="00AF10E4"/>
    <w:rsid w:val="00B56330"/>
    <w:rsid w:val="00BD085D"/>
    <w:rsid w:val="00C16BDF"/>
    <w:rsid w:val="00C31FAD"/>
    <w:rsid w:val="00C7393E"/>
    <w:rsid w:val="00C7504F"/>
    <w:rsid w:val="00CA44AC"/>
    <w:rsid w:val="00CC70BA"/>
    <w:rsid w:val="00D254E9"/>
    <w:rsid w:val="00D272BA"/>
    <w:rsid w:val="00D41E9C"/>
    <w:rsid w:val="00D901DE"/>
    <w:rsid w:val="00D91EDA"/>
    <w:rsid w:val="00DB1E58"/>
    <w:rsid w:val="00DD2E50"/>
    <w:rsid w:val="00E044D1"/>
    <w:rsid w:val="00E21B63"/>
    <w:rsid w:val="00E93ABF"/>
    <w:rsid w:val="00EC64DB"/>
    <w:rsid w:val="00EE1E14"/>
    <w:rsid w:val="00EE6D5C"/>
    <w:rsid w:val="00F00536"/>
    <w:rsid w:val="00F43908"/>
    <w:rsid w:val="00F6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E2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0BA"/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6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6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44D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1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0010E7"/>
  </w:style>
  <w:style w:type="character" w:styleId="CommentReference">
    <w:name w:val="annotation reference"/>
    <w:basedOn w:val="DefaultParagraphFont"/>
    <w:uiPriority w:val="99"/>
    <w:semiHidden/>
    <w:unhideWhenUsed/>
    <w:rsid w:val="00560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3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0BA"/>
  </w:style>
  <w:style w:type="paragraph" w:styleId="Heading1">
    <w:name w:val="heading 1"/>
    <w:basedOn w:val="Normal"/>
    <w:next w:val="Normal"/>
    <w:link w:val="Heading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A"/>
  </w:style>
  <w:style w:type="paragraph" w:styleId="Footer">
    <w:name w:val="footer"/>
    <w:basedOn w:val="Normal"/>
    <w:link w:val="Footer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A"/>
  </w:style>
  <w:style w:type="paragraph" w:styleId="BalloonText">
    <w:name w:val="Balloon Text"/>
    <w:basedOn w:val="Normal"/>
    <w:link w:val="BalloonTex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DefaultParagraphFont"/>
    <w:rsid w:val="00D272BA"/>
    <w:rPr>
      <w:b/>
      <w:bCs/>
      <w:color w:val="66666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rsid w:val="00D272BA"/>
    <w:rPr>
      <w:b/>
      <w:bCs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6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6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044D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1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0010E7"/>
  </w:style>
  <w:style w:type="character" w:styleId="CommentReference">
    <w:name w:val="annotation reference"/>
    <w:basedOn w:val="DefaultParagraphFont"/>
    <w:uiPriority w:val="99"/>
    <w:semiHidden/>
    <w:unhideWhenUsed/>
    <w:rsid w:val="00560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0412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62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09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3183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34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14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104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80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68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5817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9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055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0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8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90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reativecommons.org/licenses/by-nc-sa/4.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atforhealth.gov.au/eat-health-calculator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www.food-life.cz/kalkulacky/potravin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B775-DFEE-4037-AA09-AFA45F8A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Název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Høgskolen i Sør-Trøndelag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Yordanka</cp:lastModifiedBy>
  <cp:revision>12</cp:revision>
  <cp:lastPrinted>2014-09-15T06:43:00Z</cp:lastPrinted>
  <dcterms:created xsi:type="dcterms:W3CDTF">2015-12-10T05:16:00Z</dcterms:created>
  <dcterms:modified xsi:type="dcterms:W3CDTF">2015-12-10T10:39:00Z</dcterms:modified>
</cp:coreProperties>
</file>